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3A4A3F"/>
          <w:sz w:val="24"/>
        </w:rPr>
        <w:t>msmteplo.ru</w:t>
      </w:r>
    </w:p>
    <w:p>
      <w:pPr>
        <w:jc w:val="center"/>
      </w:pPr>
      <w:r>
        <w:rPr>
          <w:b/>
          <w:color w:val="3A4A3F"/>
          <w:sz w:val="30"/>
        </w:rPr>
        <w:t>опросный лист для расчёта ОПРОСНЫЙ ЛИСТ</w:t>
      </w:r>
    </w:p>
    <w:p>
      <w:pPr>
        <w:jc w:val="center"/>
      </w:pPr>
      <w:r>
        <w:rPr>
          <w:i/>
          <w:sz w:val="20"/>
        </w:rPr>
        <w:t>Теплообменник для бассейна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3A4A3F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подогрев воды бассейна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2.  НАЗНАЧЕНИЕ И РЕЖИМ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Объём бассейна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Площадь зеркала, м²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3.  ГРЕЮЩИЙ КОНТУР (первичный)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4.  НАГРЕВАЕМЫЙ КОНТУР (вторичный)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5.  ОГРАНИЧЕНИЯ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t,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Пожелания / аналог / габариты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лист — инженер рассчитает и подберёт аппарат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https://msmteplo.ru</w:t>
        <w:br/>
        <w:t>PDF-версия этого опросного листа: https://msmteplo.ru/spravochniki/oprosnye-listy/opros-basseyn.pdf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